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84C12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驻锦高校、各企事业单位：</w:t>
      </w:r>
    </w:p>
    <w:p w14:paraId="376B7746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根据《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锦州</w:t>
      </w:r>
      <w:r>
        <w:rPr>
          <w:rFonts w:hint="eastAsia" w:ascii="仿宋_GB2312" w:hAnsi="仿宋_GB2312" w:eastAsia="仿宋_GB2312" w:cs="仿宋_GB2312"/>
          <w:sz w:val="30"/>
          <w:szCs w:val="30"/>
        </w:rPr>
        <w:t>市科技专家库管理办法》（锦科发〔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sz w:val="30"/>
          <w:szCs w:val="30"/>
        </w:rPr>
        <w:t>号）有关规定，为进一步加强我市科技评审专家库建设，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更好发挥科技专家在科技创新中的引领示范和决策咨询作用，提高各类评审、评价、咨询工作的科学性和精准性，满足科技管理的新形势和新要求，</w:t>
      </w:r>
      <w:r>
        <w:rPr>
          <w:rFonts w:hint="eastAsia" w:ascii="仿宋_GB2312" w:hAnsi="仿宋_GB2312" w:eastAsia="仿宋_GB2312" w:cs="仿宋_GB2312"/>
          <w:sz w:val="30"/>
          <w:szCs w:val="30"/>
        </w:rPr>
        <w:t>我局决定面向全社会征集锦州市科技评审专家。现将有关事项通知如下。</w:t>
      </w:r>
      <w:bookmarkStart w:id="0" w:name="_GoBack"/>
      <w:bookmarkEnd w:id="0"/>
    </w:p>
    <w:p w14:paraId="46E94339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一、征集范围</w:t>
      </w:r>
    </w:p>
    <w:p w14:paraId="0A7F1913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主要面向驻锦高校、科研院所以及其他具备研发或科技服务能力的单位，征集包括技术类、管理类、财务类和其他类。</w:t>
      </w:r>
    </w:p>
    <w:p w14:paraId="206E3277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二、基本条件</w:t>
      </w:r>
    </w:p>
    <w:p w14:paraId="3977F2BF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1.拥护中华人民共和国宪法，遵守中国法律和社会公德，无重大违法行为，无犯罪记录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</w:p>
    <w:p w14:paraId="52962651">
      <w:pPr>
        <w:pStyle w:val="6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</w:rPr>
        <w:t>具有良好的职业道德，无不良科研诚信记录。</w:t>
      </w:r>
    </w:p>
    <w:p w14:paraId="77EB37DA">
      <w:pPr>
        <w:pStyle w:val="6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3.熟悉相关行业或领域研究发展动态，具有较高的专业水平和较强的分析判断能力，熟悉相关科技政策法规。</w:t>
      </w:r>
    </w:p>
    <w:p w14:paraId="40AC6E21">
      <w:pPr>
        <w:pStyle w:val="6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4.年龄原则上不超过60周岁（法定退休年龄大于60周岁的，从其法定退休年龄），且在时间和精力上能够保证完成相关科技评审（咨询）工作，院士不受年龄限制。</w:t>
      </w:r>
    </w:p>
    <w:p w14:paraId="39E1A4D2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三、申请程序</w:t>
      </w:r>
    </w:p>
    <w:p w14:paraId="15A28258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1.填写申请。申请人填写《锦州市科技评审专家备案申请表》，经本人所在单位或组织同意并推荐，加盖单位公章。</w:t>
      </w:r>
    </w:p>
    <w:p w14:paraId="1A343FC3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2.资料报送。签章后的《锦州市科技评审专家备案申请表》扫描件及电子版，发至邮箱（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jzzx121000@sina.com</w:t>
      </w:r>
      <w:r>
        <w:rPr>
          <w:rFonts w:hint="eastAsia" w:ascii="仿宋_GB2312" w:hAnsi="仿宋_GB2312" w:eastAsia="仿宋_GB2312" w:cs="仿宋_GB2312"/>
          <w:sz w:val="30"/>
          <w:szCs w:val="30"/>
        </w:rPr>
        <w:t>）。</w:t>
      </w:r>
    </w:p>
    <w:p w14:paraId="0BFFFAEF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3.审核入库。根据填报信息，对专家报名资料进行审核，审核结果公示无误后，纳入锦州市科技评审专家库，作为市科技评审专家候选对象。</w:t>
      </w:r>
    </w:p>
    <w:p w14:paraId="6395547D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4.截止时间。202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年0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0"/>
          <w:szCs w:val="30"/>
        </w:rPr>
        <w:t>日，逾期不再受理。</w:t>
      </w:r>
    </w:p>
    <w:p w14:paraId="073FFB52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四、填报要求</w:t>
      </w:r>
    </w:p>
    <w:p w14:paraId="502B9152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此次推荐专家库专家，是我市科技咨询论证、科技项目评审验收、科技奖励评审和科技人才评审中一项重要的基础性工作，希望各单位积极组织有关专家填报，并严格按照规定的资格条件进行初审推荐，杜绝弄虚作假。</w:t>
      </w:r>
    </w:p>
    <w:p w14:paraId="5E4E52D5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2.本次征集工作采取限额推荐形式，拟认定1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sz w:val="30"/>
          <w:szCs w:val="30"/>
        </w:rPr>
        <w:t>名左右的市科技评审专家。其中，驻锦高校院所每个二级学院（单位），限额推荐2名专家；具备研发或科技服务能力的单位，每家限额推荐2名专家。</w:t>
      </w:r>
    </w:p>
    <w:p w14:paraId="4276B2AD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3.申请入库的专家在填写申请表时，必须保证信息的真实性、准确性，一经发现存在弄虚作假行为，将被记入个人科研信用档案。</w:t>
      </w:r>
    </w:p>
    <w:p w14:paraId="03DC4BBD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4.入库专家因工作调动、职务变化等造成基本信息发生变化的，应及时联系我局，以便对入库专家信息进行修改和补充。</w:t>
      </w:r>
    </w:p>
    <w:p w14:paraId="7F8F814B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联系人：市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科技创新服务中心王建宇</w:t>
      </w:r>
    </w:p>
    <w:p w14:paraId="0536CB70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3166006</w:t>
      </w:r>
    </w:p>
    <w:p w14:paraId="66F051CD">
      <w:pP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附件1：</w:t>
      </w:r>
      <w:r>
        <w:rPr>
          <w:rFonts w:hint="eastAsia" w:ascii="仿宋_GB2312" w:hAnsi="仿宋_GB2312" w:eastAsia="仿宋_GB2312" w:cs="仿宋_GB2312"/>
          <w:sz w:val="30"/>
          <w:szCs w:val="30"/>
        </w:rPr>
        <w:t>《锦州市科技评审专家备案申请表》</w:t>
      </w:r>
    </w:p>
    <w:p w14:paraId="3EC72977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附件2：《学科分类与代码表》</w:t>
      </w:r>
    </w:p>
    <w:p w14:paraId="59F3A2C9">
      <w:pPr>
        <w:rPr>
          <w:rFonts w:hint="eastAsia" w:ascii="仿宋_GB2312" w:eastAsia="仿宋_GB2312"/>
          <w:sz w:val="32"/>
          <w:szCs w:val="32"/>
        </w:rPr>
      </w:pPr>
    </w:p>
    <w:p w14:paraId="57943578">
      <w:pPr>
        <w:rPr>
          <w:rFonts w:hint="eastAsia" w:ascii="仿宋_GB2312" w:eastAsia="仿宋_GB2312"/>
          <w:sz w:val="32"/>
          <w:szCs w:val="32"/>
        </w:rPr>
      </w:pPr>
    </w:p>
    <w:p w14:paraId="114EA1B4">
      <w:pPr>
        <w:rPr>
          <w:rFonts w:hint="eastAsia" w:ascii="仿宋_GB2312" w:eastAsia="仿宋_GB2312"/>
          <w:sz w:val="32"/>
          <w:szCs w:val="32"/>
        </w:rPr>
      </w:pPr>
    </w:p>
    <w:p w14:paraId="6546654A">
      <w:pPr>
        <w:rPr>
          <w:rFonts w:hint="eastAsia" w:ascii="仿宋_GB2312" w:eastAsia="仿宋_GB2312"/>
          <w:sz w:val="32"/>
          <w:szCs w:val="32"/>
        </w:rPr>
      </w:pPr>
    </w:p>
    <w:p w14:paraId="56ABA870">
      <w:pPr>
        <w:rPr>
          <w:rFonts w:hint="eastAsia" w:ascii="仿宋_GB2312" w:eastAsia="仿宋_GB2312"/>
          <w:sz w:val="32"/>
          <w:szCs w:val="32"/>
        </w:rPr>
      </w:pPr>
    </w:p>
    <w:p w14:paraId="54D3AF77">
      <w:pPr>
        <w:rPr>
          <w:rFonts w:hint="eastAsia" w:ascii="仿宋_GB2312" w:eastAsia="仿宋_GB2312"/>
          <w:sz w:val="32"/>
          <w:szCs w:val="32"/>
        </w:rPr>
      </w:pPr>
    </w:p>
    <w:p w14:paraId="27689E96">
      <w:pPr>
        <w:rPr>
          <w:rFonts w:hint="eastAsia" w:ascii="仿宋_GB2312" w:eastAsia="仿宋_GB2312"/>
          <w:sz w:val="32"/>
          <w:szCs w:val="32"/>
        </w:rPr>
      </w:pPr>
    </w:p>
    <w:p w14:paraId="4B8BF87A">
      <w:pPr>
        <w:rPr>
          <w:rFonts w:ascii="仿宋_GB2312" w:eastAsia="仿宋_GB2312"/>
          <w:sz w:val="32"/>
          <w:szCs w:val="32"/>
        </w:rPr>
      </w:pPr>
    </w:p>
    <w:p w14:paraId="09FC2389">
      <w:pP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43E44"/>
    <w:rsid w:val="3EAB0813"/>
    <w:rsid w:val="5F7D85B2"/>
    <w:rsid w:val="B7F6359C"/>
    <w:rsid w:val="BDBFE156"/>
    <w:rsid w:val="F9FBC241"/>
    <w:rsid w:val="FEBB7B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